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7E7EC">
      <w:pPr>
        <w:wordWrap w:val="0"/>
        <w:ind w:left="0" w:leftChars="0" w:firstLine="640" w:firstLineChars="200"/>
        <w:jc w:val="both"/>
        <w:rPr>
          <w:rFonts w:hint="eastAsia" w:ascii="黑体" w:hAnsi="黑体" w:eastAsia="黑体" w:cs="黑体"/>
          <w:lang w:val="en-US" w:eastAsia="zh-CN"/>
        </w:rPr>
      </w:pPr>
      <w:r>
        <w:rPr>
          <w:rFonts w:hint="eastAsia" w:ascii="黑体" w:hAnsi="黑体" w:eastAsia="黑体" w:cs="黑体"/>
          <w:lang w:val="en-US" w:eastAsia="zh-CN"/>
        </w:rPr>
        <w:t>附件2</w:t>
      </w:r>
    </w:p>
    <w:tbl>
      <w:tblPr>
        <w:tblStyle w:val="6"/>
        <w:tblW w:w="163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5"/>
        <w:gridCol w:w="11765"/>
        <w:gridCol w:w="1346"/>
        <w:gridCol w:w="984"/>
        <w:gridCol w:w="1010"/>
      </w:tblGrid>
      <w:tr w14:paraId="3348B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2" w:hRule="atLeast"/>
          <w:jc w:val="center"/>
        </w:trPr>
        <w:tc>
          <w:tcPr>
            <w:tcW w:w="16320" w:type="dxa"/>
            <w:gridSpan w:val="5"/>
            <w:tcBorders>
              <w:top w:val="nil"/>
              <w:left w:val="nil"/>
              <w:bottom w:val="nil"/>
              <w:right w:val="nil"/>
            </w:tcBorders>
            <w:shd w:val="clear" w:color="auto" w:fill="auto"/>
            <w:vAlign w:val="center"/>
          </w:tcPr>
          <w:p w14:paraId="4CF6CC1A">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bookmarkStart w:id="0" w:name="_GoBack"/>
            <w:r>
              <w:rPr>
                <w:rFonts w:hint="eastAsia" w:ascii="方正小标宋简体" w:hAnsi="方正小标宋简体" w:eastAsia="方正小标宋简体" w:cs="方正小标宋简体"/>
                <w:i w:val="0"/>
                <w:iCs w:val="0"/>
                <w:color w:val="000000"/>
                <w:kern w:val="0"/>
                <w:sz w:val="40"/>
                <w:szCs w:val="40"/>
                <w:u w:val="none"/>
                <w:lang w:val="en-US" w:eastAsia="zh-CN" w:bidi="ar"/>
              </w:rPr>
              <w:t>万佛共富农事服务中心经营空间视觉展陈美化项目                                                                                                                                                                                                       （二次）公开比选招标代理机构比选评分明细表</w:t>
            </w:r>
            <w:bookmarkEnd w:id="0"/>
          </w:p>
        </w:tc>
      </w:tr>
      <w:tr w14:paraId="70AAF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9" w:hRule="atLeast"/>
          <w:jc w:val="center"/>
        </w:trPr>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291EB">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项目</w:t>
            </w: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9011">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设置条件及标准</w:t>
            </w:r>
          </w:p>
        </w:tc>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EA6D">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标准分</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8FE87">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得分</w:t>
            </w: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742CE">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签名</w:t>
            </w:r>
          </w:p>
        </w:tc>
      </w:tr>
      <w:tr w14:paraId="0333A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1" w:hRule="atLeast"/>
          <w:jc w:val="center"/>
        </w:trPr>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843B80">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17345961">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09D82C12">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329D82B3">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投标人基础条件</w:t>
            </w:r>
          </w:p>
          <w:p w14:paraId="0B88E1C1">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226CD2EA">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2E5EC0F3">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5D0932B5">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2D2AC196">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2DCC160D">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7E592ED2">
            <w:pPr>
              <w:keepNext w:val="0"/>
              <w:keepLines w:val="0"/>
              <w:widowControl/>
              <w:suppressLineNumbers w:val="0"/>
              <w:jc w:val="both"/>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投标人基础条件</w:t>
            </w: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8F895">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报价服务单位必须是中国境内注册的独立法人（提供营业执照复印件加盖公章）。</w:t>
            </w:r>
          </w:p>
        </w:tc>
        <w:tc>
          <w:tcPr>
            <w:tcW w:w="13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DD37B8">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63FEC406">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1D004D43">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6500828B">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不满足为无效投标</w:t>
            </w:r>
          </w:p>
          <w:p w14:paraId="7CA3A57D">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5A553EF9">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3B06C941">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23BC0795">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653EE6E0">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36A95101">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p>
          <w:p w14:paraId="062A77C3">
            <w:pPr>
              <w:keepNext w:val="0"/>
              <w:keepLines w:val="0"/>
              <w:widowControl/>
              <w:suppressLineNumbers w:val="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不满足为无效投标</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6CB947">
            <w:pPr>
              <w:jc w:val="center"/>
              <w:rPr>
                <w:rFonts w:hint="eastAsia" w:ascii="黑体" w:hAnsi="宋体" w:eastAsia="黑体" w:cs="黑体"/>
                <w:i w:val="0"/>
                <w:iCs w:val="0"/>
                <w:color w:val="000000"/>
                <w:sz w:val="24"/>
                <w:szCs w:val="24"/>
                <w:u w:val="none"/>
              </w:rPr>
            </w:pPr>
          </w:p>
        </w:tc>
        <w:tc>
          <w:tcPr>
            <w:tcW w:w="10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38C3C">
            <w:pPr>
              <w:jc w:val="center"/>
              <w:rPr>
                <w:rFonts w:hint="eastAsia" w:ascii="黑体" w:hAnsi="宋体" w:eastAsia="黑体" w:cs="黑体"/>
                <w:i w:val="0"/>
                <w:iCs w:val="0"/>
                <w:color w:val="000000"/>
                <w:sz w:val="22"/>
                <w:szCs w:val="22"/>
                <w:u w:val="none"/>
              </w:rPr>
            </w:pPr>
          </w:p>
        </w:tc>
      </w:tr>
      <w:tr w14:paraId="1852F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5" w:hRule="atLeast"/>
          <w:jc w:val="center"/>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E6E0B9">
            <w:pPr>
              <w:jc w:val="center"/>
              <w:rPr>
                <w:rFonts w:hint="eastAsia" w:ascii="黑体" w:hAnsi="宋体" w:eastAsia="黑体" w:cs="黑体"/>
                <w:i w:val="0"/>
                <w:iCs w:val="0"/>
                <w:color w:val="000000"/>
                <w:sz w:val="24"/>
                <w:szCs w:val="24"/>
                <w:u w:val="none"/>
              </w:rPr>
            </w:pP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B364">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四川省政府采购网或四川省住房和城乡建设厅官网登记。承担本项目招标的代理机构应具备政府采购招标代理专业资质。</w:t>
            </w:r>
          </w:p>
        </w:tc>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3BDB4">
            <w:pPr>
              <w:jc w:val="center"/>
              <w:rPr>
                <w:rFonts w:hint="eastAsia" w:ascii="黑体" w:hAnsi="宋体" w:eastAsia="黑体" w:cs="黑体"/>
                <w:i w:val="0"/>
                <w:iCs w:val="0"/>
                <w:color w:val="000000"/>
                <w:sz w:val="24"/>
                <w:szCs w:val="24"/>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C77EE">
            <w:pPr>
              <w:jc w:val="center"/>
              <w:rPr>
                <w:rFonts w:hint="eastAsia" w:ascii="黑体" w:hAnsi="宋体" w:eastAsia="黑体" w:cs="黑体"/>
                <w:i w:val="0"/>
                <w:iCs w:val="0"/>
                <w:color w:val="000000"/>
                <w:sz w:val="24"/>
                <w:szCs w:val="24"/>
                <w:u w:val="none"/>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F5A99">
            <w:pPr>
              <w:jc w:val="center"/>
              <w:rPr>
                <w:rFonts w:hint="eastAsia" w:ascii="黑体" w:hAnsi="宋体" w:eastAsia="黑体" w:cs="黑体"/>
                <w:i w:val="0"/>
                <w:iCs w:val="0"/>
                <w:color w:val="000000"/>
                <w:sz w:val="22"/>
                <w:szCs w:val="22"/>
                <w:u w:val="none"/>
              </w:rPr>
            </w:pPr>
          </w:p>
        </w:tc>
      </w:tr>
      <w:tr w14:paraId="24067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2" w:hRule="atLeast"/>
          <w:jc w:val="center"/>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5EAD59">
            <w:pPr>
              <w:jc w:val="center"/>
              <w:rPr>
                <w:rFonts w:hint="eastAsia" w:ascii="黑体" w:hAnsi="宋体" w:eastAsia="黑体" w:cs="黑体"/>
                <w:i w:val="0"/>
                <w:iCs w:val="0"/>
                <w:color w:val="000000"/>
                <w:sz w:val="24"/>
                <w:szCs w:val="24"/>
                <w:u w:val="none"/>
              </w:rPr>
            </w:pP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24A39">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遵守行业规范，遵循招投标法律、法规，自觉公正履行职责，信誉良好。</w:t>
            </w:r>
          </w:p>
        </w:tc>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73C3D">
            <w:pPr>
              <w:jc w:val="center"/>
              <w:rPr>
                <w:rFonts w:hint="eastAsia" w:ascii="黑体" w:hAnsi="宋体" w:eastAsia="黑体" w:cs="黑体"/>
                <w:i w:val="0"/>
                <w:iCs w:val="0"/>
                <w:color w:val="000000"/>
                <w:sz w:val="24"/>
                <w:szCs w:val="24"/>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FB17F">
            <w:pPr>
              <w:jc w:val="center"/>
              <w:rPr>
                <w:rFonts w:hint="eastAsia" w:ascii="黑体" w:hAnsi="宋体" w:eastAsia="黑体" w:cs="黑体"/>
                <w:i w:val="0"/>
                <w:iCs w:val="0"/>
                <w:color w:val="000000"/>
                <w:sz w:val="24"/>
                <w:szCs w:val="24"/>
                <w:u w:val="none"/>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1C2C3">
            <w:pPr>
              <w:jc w:val="center"/>
              <w:rPr>
                <w:rFonts w:hint="eastAsia" w:ascii="黑体" w:hAnsi="宋体" w:eastAsia="黑体" w:cs="黑体"/>
                <w:i w:val="0"/>
                <w:iCs w:val="0"/>
                <w:color w:val="000000"/>
                <w:sz w:val="22"/>
                <w:szCs w:val="22"/>
                <w:u w:val="none"/>
              </w:rPr>
            </w:pPr>
          </w:p>
        </w:tc>
      </w:tr>
      <w:tr w14:paraId="120A2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8" w:hRule="atLeast"/>
          <w:jc w:val="center"/>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F890F7">
            <w:pPr>
              <w:jc w:val="center"/>
              <w:rPr>
                <w:rFonts w:hint="eastAsia" w:ascii="黑体" w:hAnsi="宋体" w:eastAsia="黑体" w:cs="黑体"/>
                <w:i w:val="0"/>
                <w:iCs w:val="0"/>
                <w:color w:val="000000"/>
                <w:sz w:val="24"/>
                <w:szCs w:val="24"/>
                <w:u w:val="none"/>
              </w:rPr>
            </w:pP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1645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报价人应具备相关法律、法规、规章规定的参加招标活动应具备的条件，在最近三年有骗取中标或严重违约的不得参与本次报价。</w:t>
            </w:r>
          </w:p>
        </w:tc>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B30EA">
            <w:pPr>
              <w:jc w:val="center"/>
              <w:rPr>
                <w:rFonts w:hint="eastAsia" w:ascii="黑体" w:hAnsi="宋体" w:eastAsia="黑体" w:cs="黑体"/>
                <w:i w:val="0"/>
                <w:iCs w:val="0"/>
                <w:color w:val="000000"/>
                <w:sz w:val="24"/>
                <w:szCs w:val="24"/>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382BF">
            <w:pPr>
              <w:jc w:val="center"/>
              <w:rPr>
                <w:rFonts w:hint="eastAsia" w:ascii="黑体" w:hAnsi="宋体" w:eastAsia="黑体" w:cs="黑体"/>
                <w:i w:val="0"/>
                <w:iCs w:val="0"/>
                <w:color w:val="000000"/>
                <w:sz w:val="24"/>
                <w:szCs w:val="24"/>
                <w:u w:val="none"/>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FB5F">
            <w:pPr>
              <w:jc w:val="center"/>
              <w:rPr>
                <w:rFonts w:hint="eastAsia" w:ascii="黑体" w:hAnsi="宋体" w:eastAsia="黑体" w:cs="黑体"/>
                <w:i w:val="0"/>
                <w:iCs w:val="0"/>
                <w:color w:val="000000"/>
                <w:sz w:val="22"/>
                <w:szCs w:val="22"/>
                <w:u w:val="none"/>
              </w:rPr>
            </w:pPr>
          </w:p>
        </w:tc>
      </w:tr>
      <w:tr w14:paraId="6E914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1" w:hRule="atLeast"/>
          <w:jc w:val="center"/>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5C344">
            <w:pPr>
              <w:jc w:val="center"/>
              <w:rPr>
                <w:rFonts w:hint="eastAsia" w:ascii="黑体" w:hAnsi="宋体" w:eastAsia="黑体" w:cs="黑体"/>
                <w:i w:val="0"/>
                <w:iCs w:val="0"/>
                <w:color w:val="000000"/>
                <w:sz w:val="24"/>
                <w:szCs w:val="24"/>
                <w:u w:val="none"/>
              </w:rPr>
            </w:pP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C655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报价人在提供服务过程中，不得存在弄虚作假、恶意串通、营私舞弊等严重不诚信行为。</w:t>
            </w:r>
          </w:p>
        </w:tc>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AFA57D">
            <w:pPr>
              <w:jc w:val="center"/>
              <w:rPr>
                <w:rFonts w:hint="eastAsia" w:ascii="黑体" w:hAnsi="宋体" w:eastAsia="黑体" w:cs="黑体"/>
                <w:i w:val="0"/>
                <w:iCs w:val="0"/>
                <w:color w:val="000000"/>
                <w:sz w:val="24"/>
                <w:szCs w:val="24"/>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1C21D9">
            <w:pPr>
              <w:jc w:val="center"/>
              <w:rPr>
                <w:rFonts w:hint="eastAsia" w:ascii="黑体" w:hAnsi="宋体" w:eastAsia="黑体" w:cs="黑体"/>
                <w:i w:val="0"/>
                <w:iCs w:val="0"/>
                <w:color w:val="000000"/>
                <w:sz w:val="24"/>
                <w:szCs w:val="24"/>
                <w:u w:val="none"/>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C3669">
            <w:pPr>
              <w:jc w:val="center"/>
              <w:rPr>
                <w:rFonts w:hint="eastAsia" w:ascii="黑体" w:hAnsi="宋体" w:eastAsia="黑体" w:cs="黑体"/>
                <w:i w:val="0"/>
                <w:iCs w:val="0"/>
                <w:color w:val="000000"/>
                <w:sz w:val="22"/>
                <w:szCs w:val="22"/>
                <w:u w:val="none"/>
              </w:rPr>
            </w:pPr>
          </w:p>
        </w:tc>
      </w:tr>
      <w:tr w14:paraId="04B0B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2" w:hRule="atLeast"/>
          <w:jc w:val="center"/>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264619">
            <w:pPr>
              <w:jc w:val="center"/>
              <w:rPr>
                <w:rFonts w:hint="eastAsia" w:ascii="黑体" w:hAnsi="宋体" w:eastAsia="黑体" w:cs="黑体"/>
                <w:i w:val="0"/>
                <w:iCs w:val="0"/>
                <w:color w:val="000000"/>
                <w:sz w:val="24"/>
                <w:szCs w:val="24"/>
                <w:u w:val="none"/>
              </w:rPr>
            </w:pP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76C4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报价人在提供服务过程中，不得分别接受利益相对方委托，就同一事项提供有利益冲突的中介服务。</w:t>
            </w:r>
          </w:p>
        </w:tc>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AE15D">
            <w:pPr>
              <w:jc w:val="center"/>
              <w:rPr>
                <w:rFonts w:hint="eastAsia" w:ascii="黑体" w:hAnsi="宋体" w:eastAsia="黑体" w:cs="黑体"/>
                <w:i w:val="0"/>
                <w:iCs w:val="0"/>
                <w:color w:val="000000"/>
                <w:sz w:val="24"/>
                <w:szCs w:val="24"/>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883533">
            <w:pPr>
              <w:jc w:val="center"/>
              <w:rPr>
                <w:rFonts w:hint="eastAsia" w:ascii="黑体" w:hAnsi="宋体" w:eastAsia="黑体" w:cs="黑体"/>
                <w:i w:val="0"/>
                <w:iCs w:val="0"/>
                <w:color w:val="000000"/>
                <w:sz w:val="24"/>
                <w:szCs w:val="24"/>
                <w:u w:val="none"/>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24246">
            <w:pPr>
              <w:jc w:val="center"/>
              <w:rPr>
                <w:rFonts w:hint="eastAsia" w:ascii="黑体" w:hAnsi="宋体" w:eastAsia="黑体" w:cs="黑体"/>
                <w:i w:val="0"/>
                <w:iCs w:val="0"/>
                <w:color w:val="000000"/>
                <w:sz w:val="22"/>
                <w:szCs w:val="22"/>
                <w:u w:val="none"/>
              </w:rPr>
            </w:pPr>
          </w:p>
        </w:tc>
      </w:tr>
      <w:tr w14:paraId="1F023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1" w:hRule="atLeast"/>
          <w:jc w:val="center"/>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83E53">
            <w:pPr>
              <w:jc w:val="center"/>
              <w:rPr>
                <w:rFonts w:hint="eastAsia" w:ascii="黑体" w:hAnsi="宋体" w:eastAsia="黑体" w:cs="黑体"/>
                <w:i w:val="0"/>
                <w:iCs w:val="0"/>
                <w:color w:val="000000"/>
                <w:sz w:val="24"/>
                <w:szCs w:val="24"/>
                <w:u w:val="none"/>
              </w:rPr>
            </w:pP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2392A">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报价人不得出具虚假或重大失实的业务报告。</w:t>
            </w:r>
          </w:p>
        </w:tc>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BE1B73">
            <w:pPr>
              <w:jc w:val="center"/>
              <w:rPr>
                <w:rFonts w:hint="eastAsia" w:ascii="黑体" w:hAnsi="宋体" w:eastAsia="黑体" w:cs="黑体"/>
                <w:i w:val="0"/>
                <w:iCs w:val="0"/>
                <w:color w:val="000000"/>
                <w:sz w:val="24"/>
                <w:szCs w:val="24"/>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20863">
            <w:pPr>
              <w:jc w:val="center"/>
              <w:rPr>
                <w:rFonts w:hint="eastAsia" w:ascii="黑体" w:hAnsi="宋体" w:eastAsia="黑体" w:cs="黑体"/>
                <w:i w:val="0"/>
                <w:iCs w:val="0"/>
                <w:color w:val="000000"/>
                <w:sz w:val="24"/>
                <w:szCs w:val="24"/>
                <w:u w:val="none"/>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96C91">
            <w:pPr>
              <w:jc w:val="center"/>
              <w:rPr>
                <w:rFonts w:hint="eastAsia" w:ascii="黑体" w:hAnsi="宋体" w:eastAsia="黑体" w:cs="黑体"/>
                <w:i w:val="0"/>
                <w:iCs w:val="0"/>
                <w:color w:val="000000"/>
                <w:sz w:val="22"/>
                <w:szCs w:val="22"/>
                <w:u w:val="none"/>
              </w:rPr>
            </w:pPr>
          </w:p>
        </w:tc>
      </w:tr>
      <w:tr w14:paraId="775CA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jc w:val="center"/>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88AB3">
            <w:pPr>
              <w:jc w:val="center"/>
              <w:rPr>
                <w:rFonts w:hint="eastAsia" w:ascii="黑体" w:hAnsi="宋体" w:eastAsia="黑体" w:cs="黑体"/>
                <w:i w:val="0"/>
                <w:iCs w:val="0"/>
                <w:color w:val="000000"/>
                <w:sz w:val="24"/>
                <w:szCs w:val="24"/>
                <w:u w:val="none"/>
              </w:rPr>
            </w:pP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8E702">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报价人在提供服务过程中不得违反中介服务合同约定给委托方造成重大损失。</w:t>
            </w:r>
          </w:p>
        </w:tc>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409B6">
            <w:pPr>
              <w:jc w:val="center"/>
              <w:rPr>
                <w:rFonts w:hint="eastAsia" w:ascii="黑体" w:hAnsi="宋体" w:eastAsia="黑体" w:cs="黑体"/>
                <w:i w:val="0"/>
                <w:iCs w:val="0"/>
                <w:color w:val="000000"/>
                <w:sz w:val="24"/>
                <w:szCs w:val="24"/>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32708">
            <w:pPr>
              <w:jc w:val="center"/>
              <w:rPr>
                <w:rFonts w:hint="eastAsia" w:ascii="黑体" w:hAnsi="宋体" w:eastAsia="黑体" w:cs="黑体"/>
                <w:i w:val="0"/>
                <w:iCs w:val="0"/>
                <w:color w:val="000000"/>
                <w:sz w:val="24"/>
                <w:szCs w:val="24"/>
                <w:u w:val="none"/>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525A2">
            <w:pPr>
              <w:jc w:val="center"/>
              <w:rPr>
                <w:rFonts w:hint="eastAsia" w:ascii="黑体" w:hAnsi="宋体" w:eastAsia="黑体" w:cs="黑体"/>
                <w:i w:val="0"/>
                <w:iCs w:val="0"/>
                <w:color w:val="000000"/>
                <w:sz w:val="22"/>
                <w:szCs w:val="22"/>
                <w:u w:val="none"/>
              </w:rPr>
            </w:pPr>
          </w:p>
        </w:tc>
      </w:tr>
      <w:tr w14:paraId="1106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7" w:hRule="atLeast"/>
          <w:jc w:val="center"/>
        </w:trPr>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C0839">
            <w:pPr>
              <w:jc w:val="center"/>
              <w:rPr>
                <w:rFonts w:hint="eastAsia" w:ascii="黑体" w:hAnsi="宋体" w:eastAsia="黑体" w:cs="黑体"/>
                <w:i w:val="0"/>
                <w:iCs w:val="0"/>
                <w:color w:val="000000"/>
                <w:sz w:val="24"/>
                <w:szCs w:val="24"/>
                <w:u w:val="none"/>
              </w:rPr>
            </w:pP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F46EF">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报价人需提供在中国政府采购网或四川省住房和城乡建设厅官网等公共平台中的政府采购严重违法失信行为记录名单截图或行政处罚公示截图及其他有无违法记录支撑材料。</w:t>
            </w:r>
          </w:p>
        </w:tc>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D08FC">
            <w:pPr>
              <w:jc w:val="center"/>
              <w:rPr>
                <w:rFonts w:hint="eastAsia" w:ascii="黑体" w:hAnsi="宋体" w:eastAsia="黑体" w:cs="黑体"/>
                <w:i w:val="0"/>
                <w:iCs w:val="0"/>
                <w:color w:val="000000"/>
                <w:sz w:val="24"/>
                <w:szCs w:val="24"/>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F71E46">
            <w:pPr>
              <w:jc w:val="center"/>
              <w:rPr>
                <w:rFonts w:hint="eastAsia" w:ascii="黑体" w:hAnsi="宋体" w:eastAsia="黑体" w:cs="黑体"/>
                <w:i w:val="0"/>
                <w:iCs w:val="0"/>
                <w:color w:val="000000"/>
                <w:sz w:val="24"/>
                <w:szCs w:val="24"/>
                <w:u w:val="none"/>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8D87D">
            <w:pPr>
              <w:jc w:val="center"/>
              <w:rPr>
                <w:rFonts w:hint="eastAsia" w:ascii="黑体" w:hAnsi="宋体" w:eastAsia="黑体" w:cs="黑体"/>
                <w:i w:val="0"/>
                <w:iCs w:val="0"/>
                <w:color w:val="000000"/>
                <w:sz w:val="22"/>
                <w:szCs w:val="22"/>
                <w:u w:val="none"/>
              </w:rPr>
            </w:pPr>
          </w:p>
        </w:tc>
      </w:tr>
      <w:tr w14:paraId="5B07F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8275">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w:t>
            </w: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F9763">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报价金额最终核定数采取控制价计算的方式，以所有有效报价的算术平均值作为本次比选的“报价控制价”，报价得分按“与控制价偏差率越小，得分越高”的原则计算，具体对应关系如下：±0%（完全一致）对应得分60分；±0%-±3%（含3%）对应得分50分；±3%-±4%（含4%）得分40分；±4%-±5%（含5%）得分30分；±5%-±6%（含6%）得分20分；±6%-±8%（含8%）得分10分；超出±8%得分0分。</w:t>
            </w:r>
          </w:p>
        </w:tc>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0393C">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60</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3CA5">
            <w:pPr>
              <w:jc w:val="center"/>
              <w:rPr>
                <w:rFonts w:hint="eastAsia" w:ascii="黑体" w:hAnsi="宋体" w:eastAsia="黑体" w:cs="黑体"/>
                <w:i w:val="0"/>
                <w:iCs w:val="0"/>
                <w:color w:val="000000"/>
                <w:sz w:val="24"/>
                <w:szCs w:val="24"/>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FB6B3">
            <w:pPr>
              <w:jc w:val="center"/>
              <w:rPr>
                <w:rFonts w:hint="eastAsia" w:ascii="黑体" w:hAnsi="宋体" w:eastAsia="黑体" w:cs="黑体"/>
                <w:i w:val="0"/>
                <w:iCs w:val="0"/>
                <w:color w:val="000000"/>
                <w:sz w:val="22"/>
                <w:szCs w:val="22"/>
                <w:u w:val="none"/>
              </w:rPr>
            </w:pPr>
          </w:p>
        </w:tc>
      </w:tr>
      <w:tr w14:paraId="20723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70" w:hRule="atLeast"/>
          <w:jc w:val="center"/>
        </w:trPr>
        <w:tc>
          <w:tcPr>
            <w:tcW w:w="1215" w:type="dxa"/>
            <w:tcBorders>
              <w:top w:val="nil"/>
              <w:left w:val="single" w:color="000000" w:sz="4" w:space="0"/>
              <w:bottom w:val="nil"/>
              <w:right w:val="single" w:color="000000" w:sz="4" w:space="0"/>
            </w:tcBorders>
            <w:shd w:val="clear" w:color="auto" w:fill="auto"/>
            <w:vAlign w:val="center"/>
          </w:tcPr>
          <w:p w14:paraId="6BC87A99">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服务方案</w:t>
            </w:r>
          </w:p>
        </w:tc>
        <w:tc>
          <w:tcPr>
            <w:tcW w:w="11765" w:type="dxa"/>
            <w:tcBorders>
              <w:top w:val="single" w:color="000000" w:sz="4" w:space="0"/>
              <w:left w:val="single" w:color="000000" w:sz="4" w:space="0"/>
              <w:bottom w:val="nil"/>
              <w:right w:val="single" w:color="000000" w:sz="4" w:space="0"/>
            </w:tcBorders>
            <w:shd w:val="clear" w:color="auto" w:fill="auto"/>
            <w:vAlign w:val="center"/>
          </w:tcPr>
          <w:p w14:paraId="41714FAE">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投标人需提供1个针对本项目的服务方案（如招标流程设计、风险防控方案等），且应符合如下要求：1.方案需详细阐述招标代理工作的各个关键环节，包括但不限于招标公告发布渠道规划、资格预审流程设计、评标标准制定细则等；2.方案中对于相关法律法规及政策的引用应准确且最新，确保招标活动合法合规开展3.针对项目可能面临的特殊情况（如复杂技术规格要求、紧迫时间节点等），提供针对性的解决方案，且对方案的可行性、预期效果进行深入分析；</w:t>
            </w:r>
            <w:r>
              <w:rPr>
                <w:rFonts w:hint="eastAsia" w:ascii="仿宋_GB2312" w:hAnsi="宋体" w:cs="仿宋_GB2312"/>
                <w:i w:val="0"/>
                <w:iCs w:val="0"/>
                <w:color w:val="000000"/>
                <w:kern w:val="0"/>
                <w:sz w:val="24"/>
                <w:szCs w:val="24"/>
                <w:u w:val="none"/>
                <w:lang w:val="en-US" w:eastAsia="zh-CN" w:bidi="ar"/>
              </w:rPr>
              <w:t>4</w:t>
            </w:r>
            <w:r>
              <w:rPr>
                <w:rFonts w:hint="eastAsia" w:ascii="仿宋_GB2312" w:hAnsi="宋体" w:eastAsia="仿宋_GB2312" w:cs="仿宋_GB2312"/>
                <w:i w:val="0"/>
                <w:iCs w:val="0"/>
                <w:color w:val="000000"/>
                <w:kern w:val="0"/>
                <w:sz w:val="24"/>
                <w:szCs w:val="24"/>
                <w:u w:val="none"/>
                <w:lang w:val="en-US" w:eastAsia="zh-CN" w:bidi="ar"/>
              </w:rPr>
              <w:t>.方案需包含项目团队组建计划，明确各成员的职责分工、专业背景及相关工作经验，要制定详细的项目进度计划，以专业图形或者表格的形式呈现关键时间节点及对应工作任务，确保招标流程高效推进。</w:t>
            </w:r>
            <w:r>
              <w:rPr>
                <w:rFonts w:hint="eastAsia" w:ascii="仿宋_GB2312" w:hAnsi="宋体" w:cs="仿宋_GB2312"/>
                <w:i w:val="0"/>
                <w:iCs w:val="0"/>
                <w:color w:val="000000"/>
                <w:kern w:val="0"/>
                <w:sz w:val="24"/>
                <w:szCs w:val="24"/>
                <w:u w:val="none"/>
                <w:lang w:val="en-US" w:eastAsia="zh-CN" w:bidi="ar"/>
              </w:rPr>
              <w:t>5</w:t>
            </w:r>
            <w:r>
              <w:rPr>
                <w:rFonts w:hint="eastAsia" w:ascii="仿宋_GB2312" w:hAnsi="宋体" w:eastAsia="仿宋_GB2312" w:cs="仿宋_GB2312"/>
                <w:i w:val="0"/>
                <w:iCs w:val="0"/>
                <w:color w:val="000000"/>
                <w:kern w:val="0"/>
                <w:sz w:val="24"/>
                <w:szCs w:val="24"/>
                <w:u w:val="none"/>
                <w:lang w:val="en-US" w:eastAsia="zh-CN" w:bidi="ar"/>
              </w:rPr>
              <w:t>.设有开评标场地并提供房产证或或租赁合同复印件。报价人设立的开评标营业场地及相关配套设施包含①监督室；②档案管理室；③监控设施；④门禁系统等配套设施，如有，需提供场地及设施设备照片。此外，方案还应涵盖完善的质量控制体系，包括内部审核机制、客户反馈渠道及相应的改进措施，保障招标服务质量稳定可靠。服务方案中以上</w:t>
            </w:r>
            <w:r>
              <w:rPr>
                <w:rFonts w:hint="eastAsia" w:ascii="仿宋_GB2312" w:hAnsi="宋体" w:cs="仿宋_GB2312"/>
                <w:i w:val="0"/>
                <w:iCs w:val="0"/>
                <w:color w:val="000000"/>
                <w:kern w:val="0"/>
                <w:sz w:val="24"/>
                <w:szCs w:val="24"/>
                <w:u w:val="none"/>
                <w:lang w:val="en-US" w:eastAsia="zh-CN" w:bidi="ar"/>
              </w:rPr>
              <w:t>5</w:t>
            </w:r>
            <w:r>
              <w:rPr>
                <w:rFonts w:hint="eastAsia" w:ascii="仿宋_GB2312" w:hAnsi="宋体" w:eastAsia="仿宋_GB2312" w:cs="仿宋_GB2312"/>
                <w:i w:val="0"/>
                <w:iCs w:val="0"/>
                <w:color w:val="000000"/>
                <w:kern w:val="0"/>
                <w:sz w:val="24"/>
                <w:szCs w:val="24"/>
                <w:u w:val="none"/>
                <w:lang w:val="en-US" w:eastAsia="zh-CN" w:bidi="ar"/>
              </w:rPr>
              <w:t>点要求相关描述每缺少一项扣</w:t>
            </w:r>
            <w:r>
              <w:rPr>
                <w:rFonts w:hint="eastAsia" w:ascii="仿宋_GB2312" w:hAnsi="宋体" w:cs="仿宋_GB2312"/>
                <w:i w:val="0"/>
                <w:iCs w:val="0"/>
                <w:color w:val="000000"/>
                <w:kern w:val="0"/>
                <w:sz w:val="24"/>
                <w:szCs w:val="24"/>
                <w:u w:val="none"/>
                <w:lang w:val="en-US" w:eastAsia="zh-CN" w:bidi="ar"/>
              </w:rPr>
              <w:t>6</w:t>
            </w:r>
            <w:r>
              <w:rPr>
                <w:rFonts w:hint="eastAsia" w:ascii="仿宋_GB2312" w:hAnsi="宋体" w:eastAsia="仿宋_GB2312" w:cs="仿宋_GB2312"/>
                <w:i w:val="0"/>
                <w:iCs w:val="0"/>
                <w:color w:val="000000"/>
                <w:kern w:val="0"/>
                <w:sz w:val="24"/>
                <w:szCs w:val="24"/>
                <w:u w:val="none"/>
                <w:lang w:val="en-US" w:eastAsia="zh-CN" w:bidi="ar"/>
              </w:rPr>
              <w:t>分，描述简单、考虑不全面或阐述不清晰要素，每项扣1分，扣完为止。</w:t>
            </w:r>
          </w:p>
        </w:tc>
        <w:tc>
          <w:tcPr>
            <w:tcW w:w="1346" w:type="dxa"/>
            <w:tcBorders>
              <w:top w:val="single" w:color="000000" w:sz="4" w:space="0"/>
              <w:left w:val="single" w:color="000000" w:sz="4" w:space="0"/>
              <w:bottom w:val="nil"/>
              <w:right w:val="single" w:color="000000" w:sz="4" w:space="0"/>
            </w:tcBorders>
            <w:shd w:val="clear" w:color="auto" w:fill="auto"/>
            <w:vAlign w:val="center"/>
          </w:tcPr>
          <w:p w14:paraId="41933E2C">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30</w:t>
            </w:r>
          </w:p>
        </w:tc>
        <w:tc>
          <w:tcPr>
            <w:tcW w:w="984" w:type="dxa"/>
            <w:tcBorders>
              <w:top w:val="single" w:color="000000" w:sz="4" w:space="0"/>
              <w:left w:val="single" w:color="000000" w:sz="4" w:space="0"/>
              <w:bottom w:val="nil"/>
              <w:right w:val="single" w:color="000000" w:sz="4" w:space="0"/>
            </w:tcBorders>
            <w:shd w:val="clear" w:color="auto" w:fill="auto"/>
            <w:vAlign w:val="center"/>
          </w:tcPr>
          <w:p w14:paraId="491820C2">
            <w:pPr>
              <w:jc w:val="center"/>
              <w:rPr>
                <w:rFonts w:hint="eastAsia" w:ascii="黑体" w:hAnsi="宋体" w:eastAsia="黑体" w:cs="黑体"/>
                <w:i w:val="0"/>
                <w:iCs w:val="0"/>
                <w:color w:val="000000"/>
                <w:sz w:val="24"/>
                <w:szCs w:val="24"/>
                <w:u w:val="none"/>
              </w:rPr>
            </w:pPr>
          </w:p>
        </w:tc>
        <w:tc>
          <w:tcPr>
            <w:tcW w:w="1010" w:type="dxa"/>
            <w:tcBorders>
              <w:top w:val="single" w:color="000000" w:sz="4" w:space="0"/>
              <w:left w:val="single" w:color="000000" w:sz="4" w:space="0"/>
              <w:bottom w:val="nil"/>
              <w:right w:val="single" w:color="000000" w:sz="4" w:space="0"/>
            </w:tcBorders>
            <w:shd w:val="clear" w:color="auto" w:fill="auto"/>
            <w:vAlign w:val="center"/>
          </w:tcPr>
          <w:p w14:paraId="178129BA">
            <w:pPr>
              <w:jc w:val="center"/>
              <w:rPr>
                <w:rFonts w:hint="eastAsia" w:ascii="黑体" w:hAnsi="宋体" w:eastAsia="黑体" w:cs="黑体"/>
                <w:i w:val="0"/>
                <w:iCs w:val="0"/>
                <w:color w:val="000000"/>
                <w:sz w:val="24"/>
                <w:szCs w:val="24"/>
                <w:u w:val="none"/>
              </w:rPr>
            </w:pPr>
          </w:p>
        </w:tc>
      </w:tr>
      <w:tr w14:paraId="59F35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8" w:hRule="atLeast"/>
          <w:jc w:val="center"/>
        </w:trPr>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D80D">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团队资质</w:t>
            </w: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8D2F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投标人配备的专职技术人员已在全国公共资源交易平台(四川省)备案的，1人可得2分，或配备法律顾问1人可得2分。该加分项基础分为2分，团队中应至少配备1名专业人员，人员配置在基础上每高于1人加1分，满分为5分。</w:t>
            </w:r>
          </w:p>
        </w:tc>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7109">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5</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41FE">
            <w:pPr>
              <w:jc w:val="center"/>
              <w:rPr>
                <w:rFonts w:hint="eastAsia" w:ascii="黑体" w:hAnsi="宋体" w:eastAsia="黑体" w:cs="黑体"/>
                <w:i w:val="0"/>
                <w:iCs w:val="0"/>
                <w:color w:val="000000"/>
                <w:sz w:val="24"/>
                <w:szCs w:val="24"/>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6D1AA">
            <w:pPr>
              <w:jc w:val="center"/>
              <w:rPr>
                <w:rFonts w:hint="eastAsia" w:ascii="黑体" w:hAnsi="宋体" w:eastAsia="黑体" w:cs="黑体"/>
                <w:i w:val="0"/>
                <w:iCs w:val="0"/>
                <w:color w:val="000000"/>
                <w:sz w:val="22"/>
                <w:szCs w:val="22"/>
                <w:u w:val="none"/>
              </w:rPr>
            </w:pPr>
          </w:p>
        </w:tc>
      </w:tr>
      <w:tr w14:paraId="3BA58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0" w:hRule="atLeast"/>
          <w:jc w:val="center"/>
        </w:trPr>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D4573">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服务业绩</w:t>
            </w:r>
          </w:p>
        </w:tc>
        <w:tc>
          <w:tcPr>
            <w:tcW w:w="11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F68E0">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投标人企业需提供近3年（以比选公告发布之日为倒推起点）已完成的同类招标代理项目业绩不少于3个（需提供合同关键页、其他证明等佐证材料），且案例需满足以下条件：1.参选单位提供的业绩证明材料需真实有效，合同关键页应清晰显示项目名称、委托方与受托方信息、合同金额、服务内容、签字盖章及签订日期等关键信息。2.提供3个</w:t>
            </w:r>
            <w:r>
              <w:rPr>
                <w:rFonts w:hint="eastAsia" w:ascii="仿宋_GB2312" w:hAnsi="宋体" w:cs="仿宋_GB2312"/>
                <w:i w:val="0"/>
                <w:iCs w:val="0"/>
                <w:color w:val="000000"/>
                <w:kern w:val="0"/>
                <w:sz w:val="24"/>
                <w:szCs w:val="24"/>
                <w:u w:val="none"/>
                <w:lang w:val="en-US" w:eastAsia="zh-CN" w:bidi="ar"/>
              </w:rPr>
              <w:t>业绩</w:t>
            </w:r>
            <w:r>
              <w:rPr>
                <w:rFonts w:hint="eastAsia" w:ascii="仿宋_GB2312" w:hAnsi="宋体" w:eastAsia="仿宋_GB2312" w:cs="仿宋_GB2312"/>
                <w:i w:val="0"/>
                <w:iCs w:val="0"/>
                <w:color w:val="000000"/>
                <w:kern w:val="0"/>
                <w:sz w:val="24"/>
                <w:szCs w:val="24"/>
                <w:u w:val="none"/>
                <w:lang w:val="en-US" w:eastAsia="zh-CN" w:bidi="ar"/>
              </w:rPr>
              <w:t>得3分</w:t>
            </w:r>
            <w:r>
              <w:rPr>
                <w:rFonts w:hint="eastAsia" w:ascii="仿宋_GB2312" w:hAnsi="宋体" w:cs="仿宋_GB2312"/>
                <w:i w:val="0"/>
                <w:iCs w:val="0"/>
                <w:color w:val="000000"/>
                <w:kern w:val="0"/>
                <w:sz w:val="24"/>
                <w:szCs w:val="24"/>
                <w:u w:val="none"/>
                <w:lang w:val="en-US" w:eastAsia="zh-CN" w:bidi="ar"/>
              </w:rPr>
              <w:t>（少于3个业绩不得分）</w:t>
            </w:r>
            <w:r>
              <w:rPr>
                <w:rFonts w:hint="eastAsia" w:ascii="仿宋_GB2312" w:hAnsi="宋体" w:eastAsia="仿宋_GB2312" w:cs="仿宋_GB2312"/>
                <w:i w:val="0"/>
                <w:iCs w:val="0"/>
                <w:color w:val="000000"/>
                <w:kern w:val="0"/>
                <w:sz w:val="24"/>
                <w:szCs w:val="24"/>
                <w:u w:val="none"/>
                <w:lang w:val="en-US" w:eastAsia="zh-CN" w:bidi="ar"/>
              </w:rPr>
              <w:t>，每多1个加1分，满分为5分。</w:t>
            </w:r>
          </w:p>
        </w:tc>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694F9">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5</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3646E">
            <w:pPr>
              <w:jc w:val="center"/>
              <w:rPr>
                <w:rFonts w:hint="eastAsia" w:ascii="黑体" w:hAnsi="宋体" w:eastAsia="黑体" w:cs="黑体"/>
                <w:i w:val="0"/>
                <w:iCs w:val="0"/>
                <w:color w:val="000000"/>
                <w:sz w:val="24"/>
                <w:szCs w:val="24"/>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E8335">
            <w:pPr>
              <w:jc w:val="center"/>
              <w:rPr>
                <w:rFonts w:hint="eastAsia" w:ascii="黑体" w:hAnsi="宋体" w:eastAsia="黑体" w:cs="黑体"/>
                <w:i w:val="0"/>
                <w:iCs w:val="0"/>
                <w:color w:val="000000"/>
                <w:sz w:val="22"/>
                <w:szCs w:val="22"/>
                <w:u w:val="none"/>
              </w:rPr>
            </w:pPr>
          </w:p>
        </w:tc>
      </w:tr>
      <w:tr w14:paraId="40100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jc w:val="center"/>
        </w:trPr>
        <w:tc>
          <w:tcPr>
            <w:tcW w:w="12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CBA613">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分值汇总</w:t>
            </w: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5FBF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100</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72BF2">
            <w:pPr>
              <w:jc w:val="center"/>
              <w:rPr>
                <w:rFonts w:hint="eastAsia" w:ascii="黑体" w:hAnsi="宋体" w:eastAsia="黑体" w:cs="黑体"/>
                <w:b/>
                <w:bCs/>
                <w:i w:val="0"/>
                <w:iCs w:val="0"/>
                <w:color w:val="000000"/>
                <w:sz w:val="22"/>
                <w:szCs w:val="22"/>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39116">
            <w:pPr>
              <w:jc w:val="center"/>
              <w:rPr>
                <w:rFonts w:hint="eastAsia" w:ascii="黑体" w:hAnsi="宋体" w:eastAsia="黑体" w:cs="黑体"/>
                <w:b/>
                <w:bCs/>
                <w:i w:val="0"/>
                <w:iCs w:val="0"/>
                <w:color w:val="000000"/>
                <w:sz w:val="22"/>
                <w:szCs w:val="22"/>
                <w:u w:val="none"/>
              </w:rPr>
            </w:pPr>
          </w:p>
        </w:tc>
      </w:tr>
    </w:tbl>
    <w:p w14:paraId="22B13D25">
      <w:pPr>
        <w:pStyle w:val="4"/>
      </w:pPr>
    </w:p>
    <w:sectPr>
      <w:pgSz w:w="16838" w:h="11906" w:orient="landscape"/>
      <w:pgMar w:top="1406" w:right="1440" w:bottom="1406" w:left="1440"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decorative"/>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decorative"/>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6B31C3"/>
    <w:rsid w:val="00950240"/>
    <w:rsid w:val="00B0507A"/>
    <w:rsid w:val="00F44F67"/>
    <w:rsid w:val="01565C22"/>
    <w:rsid w:val="02317AF5"/>
    <w:rsid w:val="029A7D90"/>
    <w:rsid w:val="04E84DE3"/>
    <w:rsid w:val="04FC263C"/>
    <w:rsid w:val="05243941"/>
    <w:rsid w:val="058A5E9A"/>
    <w:rsid w:val="05E57574"/>
    <w:rsid w:val="06071298"/>
    <w:rsid w:val="084314D4"/>
    <w:rsid w:val="08EB4EA1"/>
    <w:rsid w:val="093920B1"/>
    <w:rsid w:val="09AB4631"/>
    <w:rsid w:val="0A821835"/>
    <w:rsid w:val="0A982E07"/>
    <w:rsid w:val="0AA03A6A"/>
    <w:rsid w:val="0AA277E2"/>
    <w:rsid w:val="0B6251C3"/>
    <w:rsid w:val="0BE10AC9"/>
    <w:rsid w:val="0C2B3599"/>
    <w:rsid w:val="0D1349C7"/>
    <w:rsid w:val="0D9D24E2"/>
    <w:rsid w:val="0E344BF5"/>
    <w:rsid w:val="0F0C3DC3"/>
    <w:rsid w:val="0FD20B69"/>
    <w:rsid w:val="10377AD4"/>
    <w:rsid w:val="103A670E"/>
    <w:rsid w:val="10B63FE7"/>
    <w:rsid w:val="10B71B0D"/>
    <w:rsid w:val="11967974"/>
    <w:rsid w:val="11BF78AA"/>
    <w:rsid w:val="121C256F"/>
    <w:rsid w:val="124811CB"/>
    <w:rsid w:val="129B16E6"/>
    <w:rsid w:val="131E40C5"/>
    <w:rsid w:val="136A730B"/>
    <w:rsid w:val="138F31C3"/>
    <w:rsid w:val="144A1F58"/>
    <w:rsid w:val="14755F67"/>
    <w:rsid w:val="147F6DE6"/>
    <w:rsid w:val="14C31C57"/>
    <w:rsid w:val="14DF3B87"/>
    <w:rsid w:val="152C0D1B"/>
    <w:rsid w:val="159B37AB"/>
    <w:rsid w:val="15B036FB"/>
    <w:rsid w:val="169564AB"/>
    <w:rsid w:val="169F72CB"/>
    <w:rsid w:val="1723614E"/>
    <w:rsid w:val="1821268E"/>
    <w:rsid w:val="1988673C"/>
    <w:rsid w:val="19C71013"/>
    <w:rsid w:val="1A4563DB"/>
    <w:rsid w:val="1A91517D"/>
    <w:rsid w:val="1B9B2757"/>
    <w:rsid w:val="1B9C64CF"/>
    <w:rsid w:val="1C1442B7"/>
    <w:rsid w:val="1D1A76AB"/>
    <w:rsid w:val="1D392227"/>
    <w:rsid w:val="1D750D86"/>
    <w:rsid w:val="1E2D1660"/>
    <w:rsid w:val="1F3E1D77"/>
    <w:rsid w:val="206C6470"/>
    <w:rsid w:val="20E029BA"/>
    <w:rsid w:val="211B6D81"/>
    <w:rsid w:val="22511DC1"/>
    <w:rsid w:val="22F015DA"/>
    <w:rsid w:val="23775858"/>
    <w:rsid w:val="23D031BA"/>
    <w:rsid w:val="23DB1C0A"/>
    <w:rsid w:val="23F52C20"/>
    <w:rsid w:val="257F27A2"/>
    <w:rsid w:val="26001098"/>
    <w:rsid w:val="272950BB"/>
    <w:rsid w:val="287E1436"/>
    <w:rsid w:val="295B7965"/>
    <w:rsid w:val="29E03A2B"/>
    <w:rsid w:val="2A045BA0"/>
    <w:rsid w:val="2A1262DA"/>
    <w:rsid w:val="2A2A3890"/>
    <w:rsid w:val="2ACC7722"/>
    <w:rsid w:val="2BA47406"/>
    <w:rsid w:val="2C526455"/>
    <w:rsid w:val="2CB27900"/>
    <w:rsid w:val="2CBE62A5"/>
    <w:rsid w:val="2D056889"/>
    <w:rsid w:val="2D947006"/>
    <w:rsid w:val="2E7D5CEC"/>
    <w:rsid w:val="2EF75A9F"/>
    <w:rsid w:val="2F740E9D"/>
    <w:rsid w:val="2FA84FEB"/>
    <w:rsid w:val="30110DE2"/>
    <w:rsid w:val="30136908"/>
    <w:rsid w:val="304271ED"/>
    <w:rsid w:val="311F0C14"/>
    <w:rsid w:val="312D39F9"/>
    <w:rsid w:val="31AB2B70"/>
    <w:rsid w:val="32221084"/>
    <w:rsid w:val="32250B75"/>
    <w:rsid w:val="326C0551"/>
    <w:rsid w:val="33574D5E"/>
    <w:rsid w:val="335F3C12"/>
    <w:rsid w:val="33DE722D"/>
    <w:rsid w:val="342509B8"/>
    <w:rsid w:val="34A83397"/>
    <w:rsid w:val="34B14942"/>
    <w:rsid w:val="3557773B"/>
    <w:rsid w:val="35EF5040"/>
    <w:rsid w:val="37034F2E"/>
    <w:rsid w:val="379E11AD"/>
    <w:rsid w:val="38C033A5"/>
    <w:rsid w:val="38F117B0"/>
    <w:rsid w:val="393573CA"/>
    <w:rsid w:val="39657AA9"/>
    <w:rsid w:val="3AA840F1"/>
    <w:rsid w:val="3ADF0FA8"/>
    <w:rsid w:val="3B0E03F8"/>
    <w:rsid w:val="3B621045"/>
    <w:rsid w:val="3B945A4F"/>
    <w:rsid w:val="3BD31641"/>
    <w:rsid w:val="3C886EBE"/>
    <w:rsid w:val="3DC01751"/>
    <w:rsid w:val="3E75078E"/>
    <w:rsid w:val="3EA929F6"/>
    <w:rsid w:val="3F2F4DE1"/>
    <w:rsid w:val="3F8F762D"/>
    <w:rsid w:val="401364B0"/>
    <w:rsid w:val="409E221E"/>
    <w:rsid w:val="40D94A39"/>
    <w:rsid w:val="40F2256A"/>
    <w:rsid w:val="41175B2C"/>
    <w:rsid w:val="41AA4BF2"/>
    <w:rsid w:val="42162288"/>
    <w:rsid w:val="423D15C3"/>
    <w:rsid w:val="4286740D"/>
    <w:rsid w:val="43456981"/>
    <w:rsid w:val="434D3A87"/>
    <w:rsid w:val="43607C5E"/>
    <w:rsid w:val="44957494"/>
    <w:rsid w:val="44FA19ED"/>
    <w:rsid w:val="453A4D61"/>
    <w:rsid w:val="458539AC"/>
    <w:rsid w:val="46584C1D"/>
    <w:rsid w:val="46B06807"/>
    <w:rsid w:val="470F5204"/>
    <w:rsid w:val="47A345BE"/>
    <w:rsid w:val="48965ED0"/>
    <w:rsid w:val="497955D6"/>
    <w:rsid w:val="49D00F6E"/>
    <w:rsid w:val="4B3D1C65"/>
    <w:rsid w:val="4BC82E16"/>
    <w:rsid w:val="4BF52F0E"/>
    <w:rsid w:val="4D6207E4"/>
    <w:rsid w:val="4DE1374A"/>
    <w:rsid w:val="4DF07E31"/>
    <w:rsid w:val="4E4F4B57"/>
    <w:rsid w:val="4F1D6A04"/>
    <w:rsid w:val="4F300D54"/>
    <w:rsid w:val="4F512B51"/>
    <w:rsid w:val="50665465"/>
    <w:rsid w:val="51204589"/>
    <w:rsid w:val="51874608"/>
    <w:rsid w:val="53193986"/>
    <w:rsid w:val="54A31759"/>
    <w:rsid w:val="553C717A"/>
    <w:rsid w:val="55456CB4"/>
    <w:rsid w:val="55BE38F6"/>
    <w:rsid w:val="562B653A"/>
    <w:rsid w:val="56582A17"/>
    <w:rsid w:val="56737851"/>
    <w:rsid w:val="56D402F0"/>
    <w:rsid w:val="571C5DB6"/>
    <w:rsid w:val="57B317F1"/>
    <w:rsid w:val="57F81DBC"/>
    <w:rsid w:val="58156E12"/>
    <w:rsid w:val="5878114F"/>
    <w:rsid w:val="59657925"/>
    <w:rsid w:val="598B6C60"/>
    <w:rsid w:val="5A4B256F"/>
    <w:rsid w:val="5C2018E1"/>
    <w:rsid w:val="5C471564"/>
    <w:rsid w:val="5C8B76A2"/>
    <w:rsid w:val="5CC52489"/>
    <w:rsid w:val="5CD54DC2"/>
    <w:rsid w:val="5E420382"/>
    <w:rsid w:val="5F0B6879"/>
    <w:rsid w:val="5F27742B"/>
    <w:rsid w:val="615D63E7"/>
    <w:rsid w:val="61D92C5E"/>
    <w:rsid w:val="632443AD"/>
    <w:rsid w:val="63700796"/>
    <w:rsid w:val="637A3FCD"/>
    <w:rsid w:val="63FD20D1"/>
    <w:rsid w:val="651F307E"/>
    <w:rsid w:val="658729D1"/>
    <w:rsid w:val="65E73470"/>
    <w:rsid w:val="664B1C51"/>
    <w:rsid w:val="6686712D"/>
    <w:rsid w:val="66E856F1"/>
    <w:rsid w:val="67386679"/>
    <w:rsid w:val="67957627"/>
    <w:rsid w:val="67A21D44"/>
    <w:rsid w:val="68476448"/>
    <w:rsid w:val="68882CE8"/>
    <w:rsid w:val="68CC52CB"/>
    <w:rsid w:val="691427CE"/>
    <w:rsid w:val="6A0230D1"/>
    <w:rsid w:val="6A9260A0"/>
    <w:rsid w:val="6AA67E1B"/>
    <w:rsid w:val="6B040620"/>
    <w:rsid w:val="6B1940CB"/>
    <w:rsid w:val="6B4D0219"/>
    <w:rsid w:val="6B79100E"/>
    <w:rsid w:val="6C9854C4"/>
    <w:rsid w:val="6D033285"/>
    <w:rsid w:val="6D1F5E2B"/>
    <w:rsid w:val="6E11552E"/>
    <w:rsid w:val="6E9A19C7"/>
    <w:rsid w:val="6EA14B04"/>
    <w:rsid w:val="6F1E43A6"/>
    <w:rsid w:val="6F997ED1"/>
    <w:rsid w:val="6FBB1BF5"/>
    <w:rsid w:val="700A0487"/>
    <w:rsid w:val="7053007F"/>
    <w:rsid w:val="71CD3E62"/>
    <w:rsid w:val="71D207BD"/>
    <w:rsid w:val="72445652"/>
    <w:rsid w:val="72DC5216"/>
    <w:rsid w:val="732144AE"/>
    <w:rsid w:val="734A0350"/>
    <w:rsid w:val="742A10F7"/>
    <w:rsid w:val="74F636CF"/>
    <w:rsid w:val="76053BCA"/>
    <w:rsid w:val="76193F3B"/>
    <w:rsid w:val="77E048EF"/>
    <w:rsid w:val="77FE4D75"/>
    <w:rsid w:val="78016613"/>
    <w:rsid w:val="78252301"/>
    <w:rsid w:val="78564BB1"/>
    <w:rsid w:val="786D3CA8"/>
    <w:rsid w:val="787B0173"/>
    <w:rsid w:val="78A31392"/>
    <w:rsid w:val="79F550B4"/>
    <w:rsid w:val="7A671D7D"/>
    <w:rsid w:val="7A7E3ADA"/>
    <w:rsid w:val="7AAC2004"/>
    <w:rsid w:val="7BCE0F02"/>
    <w:rsid w:val="7C1D7794"/>
    <w:rsid w:val="7CB93960"/>
    <w:rsid w:val="7CBB76D8"/>
    <w:rsid w:val="7D146DE8"/>
    <w:rsid w:val="7DA63EE4"/>
    <w:rsid w:val="7DAA32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eastAsia="仿宋_GB2312" w:asciiTheme="minorHAnsi" w:hAnsiTheme="minorHAnsi"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jc w:val="center"/>
      <w:outlineLvl w:val="0"/>
    </w:pPr>
    <w:rPr>
      <w:rFonts w:eastAsia="方正小标宋简体"/>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pPr>
      <w:spacing w:before="60"/>
      <w:ind w:left="241"/>
    </w:pPr>
    <w:rPr>
      <w:sz w:val="28"/>
      <w:szCs w:val="28"/>
    </w:rPr>
  </w:style>
  <w:style w:type="paragraph" w:customStyle="1" w:styleId="4">
    <w:name w:val="引用1"/>
    <w:next w:val="1"/>
    <w:qFormat/>
    <w:uiPriority w:val="0"/>
    <w:pPr>
      <w:wordWrap w:val="0"/>
      <w:spacing w:before="200" w:after="160"/>
      <w:ind w:left="864" w:right="864"/>
      <w:jc w:val="center"/>
    </w:pPr>
    <w:rPr>
      <w:rFonts w:ascii="Calibri" w:hAnsi="Calibri" w:eastAsia="宋体" w:cs="Times New Roman"/>
      <w:i/>
      <w:sz w:val="21"/>
      <w:szCs w:val="22"/>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3316</Words>
  <Characters>3459</Characters>
  <Lines>0</Lines>
  <Paragraphs>0</Paragraphs>
  <TotalTime>7</TotalTime>
  <ScaleCrop>false</ScaleCrop>
  <LinksUpToDate>false</LinksUpToDate>
  <CharactersWithSpaces>3906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2021-05-26T01:31:00Z</dcterms:created>
  <dc:creator>柏林教育18193657388</dc:creator>
  <cp:lastModifiedBy>Cookies</cp:lastModifiedBy>
  <cp:lastPrinted>2025-08-21T06:39:00Z</cp:lastPrinted>
  <dcterms:modified xsi:type="dcterms:W3CDTF">2025-09-01T01:35:25Z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429B50F9CE7443A981AEBE6E1BE0ECCF_13</vt:lpwstr>
  </property>
  <property fmtid="{D5CDD505-2E9C-101B-9397-08002B2CF9AE}" pid="4" name="KSOTemplateDocerSaveRecord">
    <vt:lpwstr>eyJoZGlkIjoiYTRmODI3OTUwMDU4YTU0NGRmNGI1ZDhjNmI4MTE1OWQiLCJ1c2VySWQiOiIxMTU4Mjc1NTA5In0=</vt:lpwstr>
  </property>
</Properties>
</file>